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D0" w:rsidRPr="00B61E04" w:rsidRDefault="00B61E04">
      <w:pPr>
        <w:rPr>
          <w:rFonts w:cstheme="minorHAnsi"/>
          <w:b/>
        </w:rPr>
      </w:pPr>
      <w:r w:rsidRPr="00B61E04">
        <w:rPr>
          <w:rFonts w:cstheme="minorHAnsi"/>
          <w:b/>
        </w:rPr>
        <w:t xml:space="preserve">Unit </w:t>
      </w:r>
      <w:proofErr w:type="gramStart"/>
      <w:r w:rsidRPr="00B61E04">
        <w:rPr>
          <w:rFonts w:cstheme="minorHAnsi"/>
          <w:b/>
        </w:rPr>
        <w:t>7  -</w:t>
      </w:r>
      <w:proofErr w:type="gramEnd"/>
      <w:r w:rsidRPr="00B61E04">
        <w:rPr>
          <w:rFonts w:cstheme="minorHAnsi"/>
          <w:b/>
        </w:rPr>
        <w:t xml:space="preserve"> Test Practice Questions</w:t>
      </w:r>
    </w:p>
    <w:p w:rsidR="00B61E04" w:rsidRPr="00B61E04" w:rsidRDefault="00B61E04" w:rsidP="00B61E04">
      <w:pPr>
        <w:pStyle w:val="NormalText"/>
        <w:numPr>
          <w:ilvl w:val="0"/>
          <w:numId w:val="1"/>
        </w:numPr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 w:rsidRPr="00B61E04">
        <w:rPr>
          <w:rFonts w:asciiTheme="minorHAnsi" w:hAnsiTheme="minorHAnsi" w:cstheme="minorHAnsi"/>
          <w:b/>
          <w:sz w:val="22"/>
          <w:szCs w:val="22"/>
        </w:rPr>
        <w:t xml:space="preserve">In fruit flies, the gene for wing type </w:t>
      </w:r>
      <w:proofErr w:type="gramStart"/>
      <w:r w:rsidRPr="00B61E04">
        <w:rPr>
          <w:rFonts w:asciiTheme="minorHAnsi" w:hAnsiTheme="minorHAnsi" w:cstheme="minorHAnsi"/>
          <w:b/>
          <w:sz w:val="22"/>
          <w:szCs w:val="22"/>
        </w:rPr>
        <w:t>is carried</w:t>
      </w:r>
      <w:proofErr w:type="gramEnd"/>
      <w:r w:rsidRPr="00B61E04">
        <w:rPr>
          <w:rFonts w:asciiTheme="minorHAnsi" w:hAnsiTheme="minorHAnsi" w:cstheme="minorHAnsi"/>
          <w:b/>
          <w:sz w:val="22"/>
          <w:szCs w:val="22"/>
        </w:rPr>
        <w:t xml:space="preserve"> on an autosome.  The allele for wild-type wings is dominant to the allele for vestigial wings.  </w:t>
      </w:r>
    </w:p>
    <w:p w:rsidR="00B61E04" w:rsidRPr="00B61E04" w:rsidRDefault="00B61E04" w:rsidP="00B61E04">
      <w:pPr>
        <w:pStyle w:val="NormalText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B61E04" w:rsidRPr="00B61E04" w:rsidRDefault="00B61E04" w:rsidP="00B61E04">
      <w:pPr>
        <w:pStyle w:val="NormalTex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61E04">
        <w:rPr>
          <w:rFonts w:asciiTheme="minorHAnsi" w:hAnsiTheme="minorHAnsi" w:cstheme="minorHAnsi"/>
          <w:b/>
          <w:sz w:val="22"/>
          <w:szCs w:val="22"/>
        </w:rPr>
        <w:t xml:space="preserve">The gene for eye color </w:t>
      </w:r>
      <w:proofErr w:type="gramStart"/>
      <w:r w:rsidRPr="00B61E04">
        <w:rPr>
          <w:rFonts w:asciiTheme="minorHAnsi" w:hAnsiTheme="minorHAnsi" w:cstheme="minorHAnsi"/>
          <w:b/>
          <w:sz w:val="22"/>
          <w:szCs w:val="22"/>
        </w:rPr>
        <w:t>is carried</w:t>
      </w:r>
      <w:proofErr w:type="gramEnd"/>
      <w:r w:rsidRPr="00B61E04">
        <w:rPr>
          <w:rFonts w:asciiTheme="minorHAnsi" w:hAnsiTheme="minorHAnsi" w:cstheme="minorHAnsi"/>
          <w:b/>
          <w:sz w:val="22"/>
          <w:szCs w:val="22"/>
        </w:rPr>
        <w:t xml:space="preserve"> on the X chromosome. The allele for red eyes is dominant to the allele for white eyes.</w:t>
      </w:r>
    </w:p>
    <w:p w:rsidR="00B61E04" w:rsidRPr="00B61E04" w:rsidRDefault="00B61E04" w:rsidP="00B61E04">
      <w:pPr>
        <w:pStyle w:val="NormalText"/>
        <w:ind w:left="360"/>
        <w:rPr>
          <w:rFonts w:asciiTheme="minorHAnsi" w:hAnsiTheme="minorHAnsi" w:cstheme="minorHAnsi"/>
          <w:sz w:val="22"/>
          <w:szCs w:val="22"/>
        </w:rPr>
      </w:pPr>
    </w:p>
    <w:p w:rsidR="00B61E04" w:rsidRPr="00B61E04" w:rsidRDefault="00B61E04" w:rsidP="00B61E04">
      <w:pPr>
        <w:pStyle w:val="NormalText"/>
        <w:ind w:left="360"/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 xml:space="preserve">A female heterozygous for wild-type wings and heterozygous for red eyes </w:t>
      </w:r>
      <w:proofErr w:type="gramStart"/>
      <w:r w:rsidRPr="00B61E04">
        <w:rPr>
          <w:rFonts w:asciiTheme="minorHAnsi" w:hAnsiTheme="minorHAnsi" w:cstheme="minorHAnsi"/>
          <w:sz w:val="22"/>
          <w:szCs w:val="22"/>
        </w:rPr>
        <w:t>is crossed</w:t>
      </w:r>
      <w:proofErr w:type="gramEnd"/>
      <w:r w:rsidRPr="00B61E04">
        <w:rPr>
          <w:rFonts w:asciiTheme="minorHAnsi" w:hAnsiTheme="minorHAnsi" w:cstheme="minorHAnsi"/>
          <w:sz w:val="22"/>
          <w:szCs w:val="22"/>
        </w:rPr>
        <w:t xml:space="preserve"> with a </w:t>
      </w:r>
      <w:r w:rsidRPr="00B61E04">
        <w:rPr>
          <w:rFonts w:asciiTheme="minorHAnsi" w:hAnsiTheme="minorHAnsi" w:cstheme="minorHAnsi"/>
          <w:sz w:val="22"/>
          <w:szCs w:val="22"/>
        </w:rPr>
        <w:tab/>
      </w:r>
      <w:r w:rsidRPr="00B61E04">
        <w:rPr>
          <w:rFonts w:asciiTheme="minorHAnsi" w:hAnsiTheme="minorHAnsi" w:cstheme="minorHAnsi"/>
          <w:sz w:val="22"/>
          <w:szCs w:val="22"/>
        </w:rPr>
        <w:t>male with</w:t>
      </w:r>
      <w:r w:rsidRPr="00B61E04">
        <w:rPr>
          <w:rFonts w:asciiTheme="minorHAnsi" w:hAnsiTheme="minorHAnsi" w:cstheme="minorHAnsi"/>
          <w:sz w:val="22"/>
          <w:szCs w:val="22"/>
        </w:rPr>
        <w:t xml:space="preserve"> </w:t>
      </w:r>
      <w:r w:rsidRPr="00B61E04">
        <w:rPr>
          <w:rFonts w:asciiTheme="minorHAnsi" w:hAnsiTheme="minorHAnsi" w:cstheme="minorHAnsi"/>
          <w:sz w:val="22"/>
          <w:szCs w:val="22"/>
        </w:rPr>
        <w:t xml:space="preserve">vestigial wings and white eyes.  What proportion of the offspring </w:t>
      </w:r>
      <w:proofErr w:type="gramStart"/>
      <w:r w:rsidRPr="00B61E04">
        <w:rPr>
          <w:rFonts w:asciiTheme="minorHAnsi" w:hAnsiTheme="minorHAnsi" w:cstheme="minorHAnsi"/>
          <w:sz w:val="22"/>
          <w:szCs w:val="22"/>
        </w:rPr>
        <w:t>are expected</w:t>
      </w:r>
      <w:proofErr w:type="gramEnd"/>
      <w:r w:rsidRPr="00B61E04">
        <w:rPr>
          <w:rFonts w:asciiTheme="minorHAnsi" w:hAnsiTheme="minorHAnsi" w:cstheme="minorHAnsi"/>
          <w:sz w:val="22"/>
          <w:szCs w:val="22"/>
        </w:rPr>
        <w:t xml:space="preserve"> to be males with vestigial wings and white eyes?  </w:t>
      </w:r>
      <w:r w:rsidRPr="00B61E04">
        <w:rPr>
          <w:rFonts w:asciiTheme="minorHAnsi" w:hAnsiTheme="minorHAnsi" w:cstheme="minorHAnsi"/>
          <w:b/>
          <w:sz w:val="22"/>
          <w:szCs w:val="22"/>
        </w:rPr>
        <w:t>Give your answer as a fraction or decimal point</w:t>
      </w:r>
      <w:r w:rsidRPr="00B61E04">
        <w:rPr>
          <w:rFonts w:asciiTheme="minorHAnsi" w:hAnsiTheme="minorHAnsi" w:cstheme="minorHAnsi"/>
          <w:sz w:val="22"/>
          <w:szCs w:val="22"/>
        </w:rPr>
        <w:t>.</w:t>
      </w:r>
    </w:p>
    <w:p w:rsidR="00B61E04" w:rsidRPr="00B61E04" w:rsidRDefault="00B61E04" w:rsidP="00B61E04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pStyle w:val="ListParagraph"/>
        <w:numPr>
          <w:ilvl w:val="0"/>
          <w:numId w:val="1"/>
        </w:num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61E04">
        <w:rPr>
          <w:rFonts w:asciiTheme="minorHAnsi" w:hAnsiTheme="minorHAnsi" w:cstheme="minorHAnsi"/>
          <w:b/>
          <w:sz w:val="22"/>
          <w:szCs w:val="22"/>
        </w:rPr>
        <w:t>ABO blood type is a trait controlled by multiple alleles for a single gene.  The alleles</w:t>
      </w:r>
      <w:r w:rsidRPr="00B61E04">
        <w:rPr>
          <w:rFonts w:asciiTheme="minorHAnsi" w:hAnsiTheme="minorHAnsi" w:cstheme="minorHAnsi"/>
          <w:b/>
          <w:i/>
          <w:sz w:val="22"/>
          <w:szCs w:val="22"/>
        </w:rPr>
        <w:t xml:space="preserve"> I</w:t>
      </w:r>
      <w:r w:rsidRPr="00B61E0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A</w:t>
      </w:r>
      <w:r w:rsidRPr="00B61E04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Pr="00B61E04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B61E0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B</w:t>
      </w:r>
      <w:r w:rsidRPr="00B61E04">
        <w:rPr>
          <w:rFonts w:asciiTheme="minorHAnsi" w:hAnsiTheme="minorHAnsi" w:cstheme="minorHAnsi"/>
          <w:b/>
          <w:sz w:val="22"/>
          <w:szCs w:val="22"/>
        </w:rPr>
        <w:t xml:space="preserve"> are completely dominant to </w:t>
      </w:r>
      <w:proofErr w:type="gramStart"/>
      <w:r w:rsidRPr="00B61E04">
        <w:rPr>
          <w:rFonts w:asciiTheme="minorHAnsi" w:hAnsiTheme="minorHAnsi" w:cstheme="minorHAnsi"/>
          <w:b/>
          <w:sz w:val="22"/>
          <w:szCs w:val="22"/>
        </w:rPr>
        <w:t>the</w:t>
      </w:r>
      <w:r w:rsidRPr="00B61E0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B61E04">
        <w:rPr>
          <w:rFonts w:asciiTheme="minorHAnsi" w:hAnsiTheme="minorHAnsi" w:cstheme="minorHAnsi"/>
          <w:b/>
          <w:i/>
          <w:sz w:val="22"/>
          <w:szCs w:val="22"/>
        </w:rPr>
        <w:t>i</w:t>
      </w:r>
      <w:proofErr w:type="spellEnd"/>
      <w:proofErr w:type="gramEnd"/>
      <w:r w:rsidRPr="00B61E04">
        <w:rPr>
          <w:rFonts w:asciiTheme="minorHAnsi" w:hAnsiTheme="minorHAnsi" w:cstheme="minorHAnsi"/>
          <w:b/>
          <w:sz w:val="22"/>
          <w:szCs w:val="22"/>
        </w:rPr>
        <w:t xml:space="preserve"> allele.  The data table below shows the approximate genotype frequencies of ABO blood types for a large population.  </w:t>
      </w:r>
    </w:p>
    <w:p w:rsidR="00B61E04" w:rsidRPr="00B61E04" w:rsidRDefault="00B61E04" w:rsidP="00B61E04">
      <w:pPr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160"/>
        <w:gridCol w:w="2070"/>
      </w:tblGrid>
      <w:tr w:rsidR="00B61E04" w:rsidRPr="00B61E04" w:rsidTr="00B61E04">
        <w:trPr>
          <w:jc w:val="center"/>
        </w:trPr>
        <w:tc>
          <w:tcPr>
            <w:tcW w:w="1795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Phenotype</w:t>
            </w:r>
          </w:p>
        </w:tc>
        <w:tc>
          <w:tcPr>
            <w:tcW w:w="216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Genotype</w:t>
            </w:r>
          </w:p>
        </w:tc>
        <w:tc>
          <w:tcPr>
            <w:tcW w:w="207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Frequency</w:t>
            </w:r>
          </w:p>
        </w:tc>
      </w:tr>
      <w:tr w:rsidR="00B61E04" w:rsidRPr="00B61E04" w:rsidTr="00B61E04">
        <w:trPr>
          <w:jc w:val="center"/>
        </w:trPr>
        <w:tc>
          <w:tcPr>
            <w:tcW w:w="1795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Type A</w:t>
            </w:r>
          </w:p>
        </w:tc>
        <w:tc>
          <w:tcPr>
            <w:tcW w:w="216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A</w:t>
            </w:r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A</w:t>
            </w:r>
            <w:r w:rsidRPr="00B61E04">
              <w:rPr>
                <w:rFonts w:cstheme="minorHAnsi"/>
              </w:rPr>
              <w:t xml:space="preserve"> or</w:t>
            </w:r>
            <w:r w:rsidRPr="00B61E04">
              <w:rPr>
                <w:rFonts w:cstheme="minorHAnsi"/>
                <w:i/>
              </w:rPr>
              <w:t xml:space="preserve"> </w:t>
            </w:r>
            <w:proofErr w:type="spellStart"/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A</w:t>
            </w:r>
            <w:r w:rsidRPr="00B61E04">
              <w:rPr>
                <w:rFonts w:cstheme="minorHAnsi"/>
                <w:i/>
              </w:rPr>
              <w:t>i</w:t>
            </w:r>
            <w:proofErr w:type="spellEnd"/>
          </w:p>
        </w:tc>
        <w:tc>
          <w:tcPr>
            <w:tcW w:w="207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0.35</w:t>
            </w:r>
          </w:p>
        </w:tc>
      </w:tr>
      <w:tr w:rsidR="00B61E04" w:rsidRPr="00B61E04" w:rsidTr="00B61E04">
        <w:trPr>
          <w:jc w:val="center"/>
        </w:trPr>
        <w:tc>
          <w:tcPr>
            <w:tcW w:w="1795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Type B</w:t>
            </w:r>
          </w:p>
        </w:tc>
        <w:tc>
          <w:tcPr>
            <w:tcW w:w="216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B</w:t>
            </w:r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B</w:t>
            </w:r>
            <w:r w:rsidRPr="00B61E04">
              <w:rPr>
                <w:rFonts w:cstheme="minorHAnsi"/>
              </w:rPr>
              <w:t xml:space="preserve"> or</w:t>
            </w:r>
            <w:r w:rsidRPr="00B61E04">
              <w:rPr>
                <w:rFonts w:cstheme="minorHAnsi"/>
                <w:i/>
              </w:rPr>
              <w:t xml:space="preserve"> </w:t>
            </w:r>
            <w:proofErr w:type="spellStart"/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B</w:t>
            </w:r>
            <w:r w:rsidRPr="00B61E04">
              <w:rPr>
                <w:rFonts w:cstheme="minorHAnsi"/>
                <w:i/>
              </w:rPr>
              <w:t>i</w:t>
            </w:r>
            <w:proofErr w:type="spellEnd"/>
          </w:p>
        </w:tc>
        <w:tc>
          <w:tcPr>
            <w:tcW w:w="207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0.25</w:t>
            </w:r>
          </w:p>
        </w:tc>
      </w:tr>
      <w:tr w:rsidR="00B61E04" w:rsidRPr="00B61E04" w:rsidTr="00B61E04">
        <w:trPr>
          <w:jc w:val="center"/>
        </w:trPr>
        <w:tc>
          <w:tcPr>
            <w:tcW w:w="1795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Type AB</w:t>
            </w:r>
          </w:p>
        </w:tc>
        <w:tc>
          <w:tcPr>
            <w:tcW w:w="216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A</w:t>
            </w:r>
            <w:r w:rsidRPr="00B61E04">
              <w:rPr>
                <w:rFonts w:cstheme="minorHAnsi"/>
                <w:i/>
              </w:rPr>
              <w:t>I</w:t>
            </w:r>
            <w:r w:rsidRPr="00B61E04">
              <w:rPr>
                <w:rFonts w:cstheme="minorHAnsi"/>
                <w:i/>
                <w:vertAlign w:val="superscript"/>
              </w:rPr>
              <w:t>B</w:t>
            </w:r>
            <w:r w:rsidRPr="00B61E04">
              <w:rPr>
                <w:rFonts w:cstheme="minorHAnsi"/>
              </w:rPr>
              <w:t xml:space="preserve"> </w:t>
            </w:r>
          </w:p>
        </w:tc>
        <w:tc>
          <w:tcPr>
            <w:tcW w:w="207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0.1</w:t>
            </w:r>
          </w:p>
        </w:tc>
      </w:tr>
      <w:tr w:rsidR="00B61E04" w:rsidRPr="00B61E04" w:rsidTr="00B61E04">
        <w:trPr>
          <w:jc w:val="center"/>
        </w:trPr>
        <w:tc>
          <w:tcPr>
            <w:tcW w:w="1795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  <w:b/>
              </w:rPr>
            </w:pPr>
            <w:r w:rsidRPr="00B61E04">
              <w:rPr>
                <w:rFonts w:cstheme="minorHAnsi"/>
                <w:b/>
              </w:rPr>
              <w:t>Type O</w:t>
            </w:r>
          </w:p>
        </w:tc>
        <w:tc>
          <w:tcPr>
            <w:tcW w:w="216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  <w:i/>
              </w:rPr>
              <w:t>ii</w:t>
            </w:r>
          </w:p>
        </w:tc>
        <w:tc>
          <w:tcPr>
            <w:tcW w:w="2070" w:type="dxa"/>
          </w:tcPr>
          <w:p w:rsidR="00B61E04" w:rsidRPr="00B61E04" w:rsidRDefault="00B61E04" w:rsidP="00B61E04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0.3</w:t>
            </w:r>
          </w:p>
        </w:tc>
      </w:tr>
    </w:tbl>
    <w:p w:rsidR="00B61E04" w:rsidRPr="00B61E04" w:rsidRDefault="00B61E04" w:rsidP="00B61E04">
      <w:pPr>
        <w:rPr>
          <w:rFonts w:cstheme="minorHAnsi"/>
          <w:b/>
        </w:rPr>
      </w:pPr>
      <w:r w:rsidRPr="00B61E04">
        <w:rPr>
          <w:rFonts w:cstheme="minorHAnsi"/>
          <w:b/>
        </w:rPr>
        <w:t xml:space="preserve">The Hardy-Weinberg principle </w:t>
      </w:r>
      <w:proofErr w:type="gramStart"/>
      <w:r w:rsidRPr="00B61E04">
        <w:rPr>
          <w:rFonts w:cstheme="minorHAnsi"/>
          <w:b/>
        </w:rPr>
        <w:t>can be applied</w:t>
      </w:r>
      <w:proofErr w:type="gramEnd"/>
      <w:r w:rsidRPr="00B61E04">
        <w:rPr>
          <w:rFonts w:cstheme="minorHAnsi"/>
          <w:b/>
        </w:rPr>
        <w:t xml:space="preserve"> to a genetic locus with three alleles by using the </w:t>
      </w:r>
      <w:r w:rsidRPr="00B61E04">
        <w:rPr>
          <w:rFonts w:cstheme="minorHAnsi"/>
          <w:b/>
        </w:rPr>
        <w:tab/>
      </w:r>
      <w:r w:rsidRPr="00B61E04">
        <w:rPr>
          <w:rFonts w:cstheme="minorHAnsi"/>
          <w:b/>
        </w:rPr>
        <w:t>following</w:t>
      </w:r>
      <w:r w:rsidRPr="00B61E04">
        <w:rPr>
          <w:rFonts w:cstheme="minorHAnsi"/>
          <w:b/>
        </w:rPr>
        <w:t xml:space="preserve"> </w:t>
      </w:r>
      <w:r w:rsidRPr="00B61E04">
        <w:rPr>
          <w:rFonts w:cstheme="minorHAnsi"/>
          <w:b/>
        </w:rPr>
        <w:t>equation:</w:t>
      </w:r>
    </w:p>
    <w:p w:rsidR="00B61E04" w:rsidRPr="00B61E04" w:rsidRDefault="00B61E04" w:rsidP="00B61E04">
      <w:pPr>
        <w:ind w:left="1800"/>
        <w:rPr>
          <w:rFonts w:cstheme="minorHAnsi"/>
          <w:b/>
        </w:rPr>
      </w:pPr>
      <w:r w:rsidRPr="00B61E04">
        <w:rPr>
          <w:rFonts w:cstheme="minorHAnsi"/>
          <w:b/>
        </w:rPr>
        <w:t>p</w:t>
      </w:r>
      <w:r w:rsidRPr="00B61E04">
        <w:rPr>
          <w:rFonts w:cstheme="minorHAnsi"/>
          <w:b/>
          <w:vertAlign w:val="superscript"/>
        </w:rPr>
        <w:t>2</w:t>
      </w:r>
      <w:r w:rsidRPr="00B61E04">
        <w:rPr>
          <w:rFonts w:cstheme="minorHAnsi"/>
          <w:b/>
        </w:rPr>
        <w:t xml:space="preserve"> + q</w:t>
      </w:r>
      <w:r w:rsidRPr="00B61E04">
        <w:rPr>
          <w:rFonts w:cstheme="minorHAnsi"/>
          <w:b/>
          <w:vertAlign w:val="superscript"/>
        </w:rPr>
        <w:t>2</w:t>
      </w:r>
      <w:r w:rsidRPr="00B61E04">
        <w:rPr>
          <w:rFonts w:cstheme="minorHAnsi"/>
          <w:b/>
        </w:rPr>
        <w:t xml:space="preserve"> + r</w:t>
      </w:r>
      <w:r w:rsidRPr="00B61E04">
        <w:rPr>
          <w:rFonts w:cstheme="minorHAnsi"/>
          <w:b/>
          <w:vertAlign w:val="superscript"/>
        </w:rPr>
        <w:t>2</w:t>
      </w:r>
      <w:r w:rsidRPr="00B61E04">
        <w:rPr>
          <w:rFonts w:cstheme="minorHAnsi"/>
          <w:b/>
        </w:rPr>
        <w:t xml:space="preserve"> +2pq + 2pr +2qr = 1</w:t>
      </w:r>
    </w:p>
    <w:p w:rsidR="00B61E04" w:rsidRPr="00B61E04" w:rsidRDefault="00B61E04" w:rsidP="00B61E04">
      <w:pPr>
        <w:ind w:left="2520"/>
        <w:rPr>
          <w:rFonts w:cstheme="minorHAnsi"/>
          <w:b/>
        </w:rPr>
      </w:pPr>
      <w:r w:rsidRPr="00B61E04">
        <w:rPr>
          <w:rFonts w:cstheme="minorHAnsi"/>
          <w:b/>
        </w:rPr>
        <w:t>p +q + r = 1</w:t>
      </w: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ind w:left="720"/>
        <w:rPr>
          <w:rFonts w:cstheme="minorHAnsi"/>
        </w:rPr>
      </w:pPr>
      <w:r w:rsidRPr="00B61E04">
        <w:rPr>
          <w:rFonts w:cstheme="minorHAnsi"/>
        </w:rPr>
        <w:t xml:space="preserve">Assuming that the population is in Hardy-Weinberg equilibrium with respect to blood type, what is the frequency of </w:t>
      </w:r>
      <w:proofErr w:type="gramStart"/>
      <w:r w:rsidRPr="00B61E04">
        <w:rPr>
          <w:rFonts w:cstheme="minorHAnsi"/>
        </w:rPr>
        <w:t xml:space="preserve">the </w:t>
      </w:r>
      <w:proofErr w:type="spellStart"/>
      <w:r w:rsidRPr="00B61E04">
        <w:rPr>
          <w:rFonts w:cstheme="minorHAnsi"/>
          <w:i/>
        </w:rPr>
        <w:t>i</w:t>
      </w:r>
      <w:proofErr w:type="spellEnd"/>
      <w:proofErr w:type="gramEnd"/>
      <w:r w:rsidRPr="00B61E04">
        <w:rPr>
          <w:rFonts w:cstheme="minorHAnsi"/>
        </w:rPr>
        <w:t xml:space="preserve"> allele?  </w:t>
      </w:r>
      <w:r w:rsidRPr="00B61E04">
        <w:rPr>
          <w:rFonts w:cstheme="minorHAnsi"/>
          <w:b/>
        </w:rPr>
        <w:t>Give your answer to two decimal places</w:t>
      </w:r>
      <w:r w:rsidRPr="00B61E04">
        <w:rPr>
          <w:rFonts w:cstheme="minorHAnsi"/>
        </w:rPr>
        <w:t>.</w:t>
      </w: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lastRenderedPageBreak/>
        <w:t xml:space="preserve">Huntington’s is an inherited autosomal dominant disease.  If two parents who are heterozygous for the disease have </w:t>
      </w:r>
      <w:proofErr w:type="gramStart"/>
      <w:r w:rsidRPr="00B61E04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B61E04">
        <w:rPr>
          <w:rFonts w:asciiTheme="minorHAnsi" w:hAnsiTheme="minorHAnsi" w:cstheme="minorHAnsi"/>
          <w:sz w:val="22"/>
          <w:szCs w:val="22"/>
        </w:rPr>
        <w:t xml:space="preserve"> children, what is the probability that neither child will have Huntington’s?  </w:t>
      </w:r>
      <w:r w:rsidRPr="00B61E04">
        <w:rPr>
          <w:rFonts w:asciiTheme="minorHAnsi" w:hAnsiTheme="minorHAnsi" w:cstheme="minorHAnsi"/>
          <w:b/>
          <w:sz w:val="22"/>
          <w:szCs w:val="22"/>
        </w:rPr>
        <w:t>Give your answer as a fraction or decimal.</w:t>
      </w:r>
    </w:p>
    <w:p w:rsidR="00B61E04" w:rsidRPr="00B61E04" w:rsidRDefault="00B61E04" w:rsidP="00B61E04">
      <w:pPr>
        <w:rPr>
          <w:rFonts w:cstheme="minorHAnsi"/>
          <w:b/>
        </w:rPr>
      </w:pPr>
    </w:p>
    <w:p w:rsidR="00B61E04" w:rsidRPr="00B61E04" w:rsidRDefault="00B61E04" w:rsidP="00B61E04">
      <w:pPr>
        <w:rPr>
          <w:rFonts w:cstheme="minorHAnsi"/>
          <w:b/>
        </w:rPr>
      </w:pPr>
    </w:p>
    <w:p w:rsidR="00B61E04" w:rsidRPr="00B61E04" w:rsidRDefault="00B61E04" w:rsidP="00B61E04">
      <w:pPr>
        <w:rPr>
          <w:rFonts w:cstheme="minorHAnsi"/>
          <w:b/>
        </w:rPr>
      </w:pPr>
    </w:p>
    <w:p w:rsidR="00B61E04" w:rsidRPr="00B61E04" w:rsidRDefault="00B61E04" w:rsidP="00B61E04">
      <w:pPr>
        <w:rPr>
          <w:rFonts w:cstheme="minorHAnsi"/>
          <w:b/>
        </w:rPr>
      </w:pPr>
    </w:p>
    <w:p w:rsidR="00B61E04" w:rsidRPr="00B61E04" w:rsidRDefault="00B61E04" w:rsidP="00B61E04">
      <w:pPr>
        <w:rPr>
          <w:rFonts w:cstheme="minorHAnsi"/>
          <w:b/>
        </w:rPr>
      </w:pPr>
    </w:p>
    <w:p w:rsidR="00B61E04" w:rsidRPr="00B61E04" w:rsidRDefault="00B61E04" w:rsidP="00B61E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 xml:space="preserve">In a population of flowers, long stems (L) are dominant to short stems (l) and red flowers (R) are dominant to blue flowers (r).  The following cross </w:t>
      </w:r>
      <w:proofErr w:type="gramStart"/>
      <w:r w:rsidRPr="00B61E04">
        <w:rPr>
          <w:rFonts w:asciiTheme="minorHAnsi" w:hAnsiTheme="minorHAnsi" w:cstheme="minorHAnsi"/>
          <w:sz w:val="22"/>
          <w:szCs w:val="22"/>
        </w:rPr>
        <w:t>was performed</w:t>
      </w:r>
      <w:proofErr w:type="gramEnd"/>
      <w:r w:rsidRPr="00B61E04">
        <w:rPr>
          <w:rFonts w:asciiTheme="minorHAnsi" w:hAnsiTheme="minorHAnsi" w:cstheme="minorHAnsi"/>
          <w:sz w:val="22"/>
          <w:szCs w:val="22"/>
        </w:rPr>
        <w:t xml:space="preserve"> and the phenotype results of 1000 offspring are recorded below.</w:t>
      </w:r>
    </w:p>
    <w:p w:rsidR="00B61E04" w:rsidRPr="00B61E04" w:rsidRDefault="00B61E04" w:rsidP="00B61E04">
      <w:pPr>
        <w:ind w:left="2160" w:firstLine="720"/>
        <w:rPr>
          <w:rFonts w:cstheme="minorHAnsi"/>
        </w:rPr>
      </w:pPr>
      <w:proofErr w:type="spellStart"/>
      <w:r w:rsidRPr="00B61E04">
        <w:rPr>
          <w:rFonts w:cstheme="minorHAnsi"/>
        </w:rPr>
        <w:t>LlRr</w:t>
      </w:r>
      <w:proofErr w:type="spellEnd"/>
      <w:r w:rsidRPr="00B61E04">
        <w:rPr>
          <w:rFonts w:cstheme="minorHAnsi"/>
        </w:rPr>
        <w:t xml:space="preserve"> x </w:t>
      </w:r>
      <w:proofErr w:type="spellStart"/>
      <w:r w:rsidRPr="00B61E04">
        <w:rPr>
          <w:rFonts w:cstheme="minorHAnsi"/>
        </w:rPr>
        <w:t>llrr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1947"/>
        <w:gridCol w:w="1785"/>
        <w:gridCol w:w="1785"/>
        <w:gridCol w:w="1785"/>
      </w:tblGrid>
      <w:tr w:rsidR="00B61E04" w:rsidRPr="00B61E04" w:rsidTr="006B4CDB">
        <w:trPr>
          <w:jc w:val="center"/>
        </w:trPr>
        <w:tc>
          <w:tcPr>
            <w:tcW w:w="2048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</w:p>
        </w:tc>
        <w:tc>
          <w:tcPr>
            <w:tcW w:w="1947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Long, Red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Long, blue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Short, Red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Short, blue</w:t>
            </w:r>
          </w:p>
        </w:tc>
      </w:tr>
      <w:tr w:rsidR="00B61E04" w:rsidRPr="00B61E04" w:rsidTr="006B4CDB">
        <w:trPr>
          <w:jc w:val="center"/>
        </w:trPr>
        <w:tc>
          <w:tcPr>
            <w:tcW w:w="2048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Observed</w:t>
            </w:r>
          </w:p>
        </w:tc>
        <w:tc>
          <w:tcPr>
            <w:tcW w:w="1947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248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252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247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253</w:t>
            </w:r>
          </w:p>
        </w:tc>
      </w:tr>
      <w:tr w:rsidR="00B61E04" w:rsidRPr="00B61E04" w:rsidTr="006B4CDB">
        <w:trPr>
          <w:jc w:val="center"/>
        </w:trPr>
        <w:tc>
          <w:tcPr>
            <w:tcW w:w="2048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Expected</w:t>
            </w:r>
          </w:p>
        </w:tc>
        <w:tc>
          <w:tcPr>
            <w:tcW w:w="1947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</w:tr>
    </w:tbl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ind w:firstLine="360"/>
        <w:rPr>
          <w:rFonts w:cstheme="minorHAnsi"/>
        </w:rPr>
      </w:pPr>
      <w:r w:rsidRPr="00B61E04">
        <w:rPr>
          <w:rFonts w:cstheme="minorHAnsi"/>
        </w:rPr>
        <w:t>Which statement best explains the observed results?</w:t>
      </w:r>
    </w:p>
    <w:p w:rsidR="00B61E04" w:rsidRPr="00B61E04" w:rsidRDefault="00B61E04" w:rsidP="00B61E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stem length and flower color are located on different chromosomes.</w:t>
      </w:r>
    </w:p>
    <w:p w:rsidR="00B61E04" w:rsidRPr="00B61E04" w:rsidRDefault="00B61E04" w:rsidP="00B61E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stem length and flower color are located far apart on the same chromosome.</w:t>
      </w:r>
    </w:p>
    <w:p w:rsidR="00B61E04" w:rsidRPr="00B61E04" w:rsidRDefault="00B61E04" w:rsidP="00B61E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stem length and flower color are located close together on the same chromosome.</w:t>
      </w:r>
    </w:p>
    <w:p w:rsidR="00B61E04" w:rsidRPr="00B61E04" w:rsidRDefault="00B61E04" w:rsidP="00B61E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stem length and flower color are sex-linked.</w:t>
      </w:r>
    </w:p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 xml:space="preserve">In a population of bees, long bodies (L) are dominant to short bodies (l) and </w:t>
      </w:r>
      <w:proofErr w:type="gramStart"/>
      <w:r w:rsidRPr="00B61E04">
        <w:rPr>
          <w:rFonts w:asciiTheme="minorHAnsi" w:hAnsiTheme="minorHAnsi" w:cstheme="minorHAnsi"/>
          <w:sz w:val="22"/>
          <w:szCs w:val="22"/>
        </w:rPr>
        <w:t>Black</w:t>
      </w:r>
      <w:proofErr w:type="gramEnd"/>
      <w:r w:rsidRPr="00B61E04">
        <w:rPr>
          <w:rFonts w:asciiTheme="minorHAnsi" w:hAnsiTheme="minorHAnsi" w:cstheme="minorHAnsi"/>
          <w:sz w:val="22"/>
          <w:szCs w:val="22"/>
        </w:rPr>
        <w:t xml:space="preserve"> stripes (B) are dominant to brown stripes (b).  The following cross </w:t>
      </w:r>
      <w:proofErr w:type="gramStart"/>
      <w:r w:rsidRPr="00B61E04">
        <w:rPr>
          <w:rFonts w:asciiTheme="minorHAnsi" w:hAnsiTheme="minorHAnsi" w:cstheme="minorHAnsi"/>
          <w:sz w:val="22"/>
          <w:szCs w:val="22"/>
        </w:rPr>
        <w:t>was performed</w:t>
      </w:r>
      <w:proofErr w:type="gramEnd"/>
      <w:r w:rsidRPr="00B61E04">
        <w:rPr>
          <w:rFonts w:asciiTheme="minorHAnsi" w:hAnsiTheme="minorHAnsi" w:cstheme="minorHAnsi"/>
          <w:sz w:val="22"/>
          <w:szCs w:val="22"/>
        </w:rPr>
        <w:t xml:space="preserve"> and the phenotype results of 1000 offspring are recorded below.</w:t>
      </w:r>
    </w:p>
    <w:p w:rsidR="00B61E04" w:rsidRPr="00B61E04" w:rsidRDefault="00B61E04" w:rsidP="00B61E04">
      <w:pPr>
        <w:ind w:left="2160" w:firstLine="720"/>
        <w:rPr>
          <w:rFonts w:cstheme="minorHAnsi"/>
        </w:rPr>
      </w:pPr>
      <w:proofErr w:type="spellStart"/>
      <w:r w:rsidRPr="00B61E04">
        <w:rPr>
          <w:rFonts w:cstheme="minorHAnsi"/>
        </w:rPr>
        <w:t>LlBb</w:t>
      </w:r>
      <w:proofErr w:type="spellEnd"/>
      <w:r w:rsidRPr="00B61E04">
        <w:rPr>
          <w:rFonts w:cstheme="minorHAnsi"/>
        </w:rPr>
        <w:t xml:space="preserve"> x </w:t>
      </w:r>
      <w:proofErr w:type="spellStart"/>
      <w:r w:rsidRPr="00B61E04">
        <w:rPr>
          <w:rFonts w:cstheme="minorHAnsi"/>
        </w:rPr>
        <w:t>llbb</w:t>
      </w:r>
      <w:proofErr w:type="spellEnd"/>
    </w:p>
    <w:p w:rsidR="00B61E04" w:rsidRPr="00B61E04" w:rsidRDefault="00B61E04" w:rsidP="00B61E04">
      <w:pPr>
        <w:rPr>
          <w:rFonts w:cstheme="minorHAnsi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042"/>
        <w:gridCol w:w="1940"/>
        <w:gridCol w:w="1779"/>
        <w:gridCol w:w="1779"/>
        <w:gridCol w:w="1779"/>
      </w:tblGrid>
      <w:tr w:rsidR="00B61E04" w:rsidRPr="00B61E04" w:rsidTr="006B4CDB">
        <w:tc>
          <w:tcPr>
            <w:tcW w:w="2048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</w:p>
        </w:tc>
        <w:tc>
          <w:tcPr>
            <w:tcW w:w="1947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Long, Black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Long, brown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Short, black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Short, brown</w:t>
            </w:r>
          </w:p>
        </w:tc>
      </w:tr>
      <w:tr w:rsidR="00B61E04" w:rsidRPr="00B61E04" w:rsidTr="006B4CDB">
        <w:tc>
          <w:tcPr>
            <w:tcW w:w="2048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Observed</w:t>
            </w:r>
          </w:p>
        </w:tc>
        <w:tc>
          <w:tcPr>
            <w:tcW w:w="1947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495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6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5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494</w:t>
            </w:r>
          </w:p>
        </w:tc>
      </w:tr>
      <w:tr w:rsidR="00B61E04" w:rsidRPr="00B61E04" w:rsidTr="006B4CDB">
        <w:tc>
          <w:tcPr>
            <w:tcW w:w="2048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Expected</w:t>
            </w:r>
          </w:p>
        </w:tc>
        <w:tc>
          <w:tcPr>
            <w:tcW w:w="1947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  <w:tc>
          <w:tcPr>
            <w:tcW w:w="1785" w:type="dxa"/>
          </w:tcPr>
          <w:p w:rsidR="00B61E04" w:rsidRPr="00B61E04" w:rsidRDefault="00B61E04" w:rsidP="006B4CDB">
            <w:pPr>
              <w:jc w:val="center"/>
              <w:rPr>
                <w:rFonts w:cstheme="minorHAnsi"/>
              </w:rPr>
            </w:pPr>
            <w:r w:rsidRPr="00B61E04">
              <w:rPr>
                <w:rFonts w:cstheme="minorHAnsi"/>
              </w:rPr>
              <w:t>250</w:t>
            </w:r>
          </w:p>
        </w:tc>
      </w:tr>
    </w:tbl>
    <w:p w:rsidR="00B61E04" w:rsidRPr="00B61E04" w:rsidRDefault="00B61E04" w:rsidP="00B61E04">
      <w:pPr>
        <w:rPr>
          <w:rFonts w:cstheme="minorHAnsi"/>
        </w:rPr>
      </w:pPr>
    </w:p>
    <w:p w:rsidR="00B61E04" w:rsidRPr="00B61E04" w:rsidRDefault="00B61E04" w:rsidP="00B61E04">
      <w:pPr>
        <w:ind w:firstLine="360"/>
        <w:rPr>
          <w:rFonts w:cstheme="minorHAnsi"/>
        </w:rPr>
      </w:pPr>
      <w:r w:rsidRPr="00B61E04">
        <w:rPr>
          <w:rFonts w:cstheme="minorHAnsi"/>
        </w:rPr>
        <w:t>Which statement best explains the observed results?</w:t>
      </w:r>
    </w:p>
    <w:p w:rsidR="00B61E04" w:rsidRPr="00B61E04" w:rsidRDefault="00B61E04" w:rsidP="00B61E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body length and stripe color are located on different chromosomes.</w:t>
      </w:r>
    </w:p>
    <w:p w:rsidR="00B61E04" w:rsidRPr="00B61E04" w:rsidRDefault="00B61E04" w:rsidP="00B61E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body length and stripe color are located far apart on the same chromosome.</w:t>
      </w:r>
    </w:p>
    <w:p w:rsidR="00B61E04" w:rsidRPr="00B61E04" w:rsidRDefault="00B61E04" w:rsidP="00B61E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body length and stripe color are located close together on the same chromosome.</w:t>
      </w:r>
    </w:p>
    <w:p w:rsidR="00B61E04" w:rsidRPr="00B61E04" w:rsidRDefault="00B61E04" w:rsidP="00B61E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61E04">
        <w:rPr>
          <w:rFonts w:asciiTheme="minorHAnsi" w:hAnsiTheme="minorHAnsi" w:cstheme="minorHAnsi"/>
          <w:sz w:val="22"/>
          <w:szCs w:val="22"/>
        </w:rPr>
        <w:t>The genes for body length and stripe color are sex-linked.</w:t>
      </w:r>
    </w:p>
    <w:p w:rsidR="00B61E04" w:rsidRPr="00B61E04" w:rsidRDefault="00B61E04">
      <w:pPr>
        <w:rPr>
          <w:rFonts w:cstheme="minorHAnsi"/>
        </w:rPr>
      </w:pPr>
    </w:p>
    <w:p w:rsidR="00B61E04" w:rsidRPr="00B61E04" w:rsidRDefault="00B61E04">
      <w:pPr>
        <w:rPr>
          <w:rFonts w:cstheme="minorHAnsi"/>
        </w:rPr>
      </w:pPr>
      <w:bookmarkStart w:id="0" w:name="_GoBack"/>
      <w:bookmarkEnd w:id="0"/>
    </w:p>
    <w:sectPr w:rsidR="00B61E04" w:rsidRPr="00B61E04" w:rsidSect="00B61E0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6843"/>
    <w:multiLevelType w:val="hybridMultilevel"/>
    <w:tmpl w:val="431875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E2249"/>
    <w:multiLevelType w:val="hybridMultilevel"/>
    <w:tmpl w:val="9C44529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D8F1BB2"/>
    <w:multiLevelType w:val="hybridMultilevel"/>
    <w:tmpl w:val="65D62D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04"/>
    <w:rsid w:val="006E05D0"/>
    <w:rsid w:val="00B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B850"/>
  <w15:chartTrackingRefBased/>
  <w15:docId w15:val="{FE321121-446A-4687-9467-ECDEFB0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61E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B6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</cp:revision>
  <dcterms:created xsi:type="dcterms:W3CDTF">2019-02-15T16:19:00Z</dcterms:created>
  <dcterms:modified xsi:type="dcterms:W3CDTF">2019-02-15T16:24:00Z</dcterms:modified>
</cp:coreProperties>
</file>